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BB" w:rsidRDefault="005E6A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Pedagogiczna Biblioteka Wojewódzka w Przemyślu</w:t>
      </w:r>
    </w:p>
    <w:p w:rsidR="00AA1ABB" w:rsidRDefault="005E6A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 xml:space="preserve">Wydział </w:t>
      </w:r>
      <w:proofErr w:type="spellStart"/>
      <w:r>
        <w:rPr>
          <w:rFonts w:ascii="Times New Roman" w:eastAsia="Lucida Sans Unicode" w:hAnsi="Times New Roman" w:cs="Times New Roman"/>
          <w:sz w:val="20"/>
          <w:szCs w:val="20"/>
        </w:rPr>
        <w:t>Informacyjno</w:t>
      </w:r>
      <w:proofErr w:type="spellEnd"/>
      <w:r>
        <w:rPr>
          <w:rFonts w:ascii="Times New Roman" w:eastAsia="Lucida Sans Unicode" w:hAnsi="Times New Roman" w:cs="Times New Roman"/>
          <w:sz w:val="20"/>
          <w:szCs w:val="20"/>
        </w:rPr>
        <w:t xml:space="preserve"> – Bibliograficzny i Czytelnia</w:t>
      </w:r>
    </w:p>
    <w:p w:rsidR="00AA1ABB" w:rsidRDefault="004650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 xml:space="preserve">Na podstawie recenzji wydawnictw zestawiła </w:t>
      </w:r>
      <w:r w:rsidR="005E6A40">
        <w:rPr>
          <w:rFonts w:ascii="Times New Roman" w:eastAsia="Lucida Sans Unicode" w:hAnsi="Times New Roman" w:cs="Times New Roman"/>
          <w:sz w:val="20"/>
          <w:szCs w:val="20"/>
        </w:rPr>
        <w:t>Elżbieta Krupa</w:t>
      </w:r>
    </w:p>
    <w:p w:rsidR="005104AA" w:rsidRDefault="005104AA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</w:p>
    <w:p w:rsidR="00AA1ABB" w:rsidRPr="00C95B04" w:rsidRDefault="005E6A40" w:rsidP="00C95B04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PEDAGOGIKA / PSYCHOLOGIA</w:t>
      </w:r>
    </w:p>
    <w:p w:rsidR="005104AA" w:rsidRDefault="005104A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tblpY="1"/>
        <w:tblW w:w="907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83"/>
        <w:gridCol w:w="3089"/>
      </w:tblGrid>
      <w:tr w:rsidR="004435D3" w:rsidTr="005B60E5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395CB9" w:rsidRPr="00395CB9" w:rsidRDefault="00395CB9" w:rsidP="00430B50">
            <w:pPr>
              <w:spacing w:after="0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3159A" w:rsidRPr="00430B50" w:rsidRDefault="0011184D" w:rsidP="00430B5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4D">
              <w:rPr>
                <w:rFonts w:ascii="Times New Roman" w:hAnsi="Times New Roman" w:cs="Times New Roman"/>
                <w:b/>
                <w:sz w:val="20"/>
                <w:szCs w:val="20"/>
              </w:rPr>
              <w:t>Stosowana psychologia rehabilitacji / Stanisław Kowalik. - Warszawa : "Scholar", 2018</w:t>
            </w:r>
          </w:p>
          <w:p w:rsidR="00430B50" w:rsidRPr="00F55500" w:rsidRDefault="00430B50" w:rsidP="00430B5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D77" w:rsidRPr="00057D77" w:rsidRDefault="00057D77" w:rsidP="00057D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7D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Stosowaną psychologię rehabilitacji wyróżnia autorskie ujęcie problematyki. Decydują o tym trzy cechy książki.</w:t>
            </w:r>
          </w:p>
          <w:p w:rsidR="00057D77" w:rsidRPr="00057D77" w:rsidRDefault="00057D77" w:rsidP="00057D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057D77" w:rsidRPr="00057D77" w:rsidRDefault="00057D77" w:rsidP="00057D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7D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Po pierwsze, przedstawiona w niej wiedza psychologiczna, odnosząca się do osób niepełnosprawnych i ich rehabilitacji, skonfrontowana została z doświadczeniami praktycznymi autora książki. Wyniki tej konfrontacji spowodowały, że niektóre z powszechnie przyjmowanych zasad działania psychologów w obszarze rehabilitacji osób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Pr="00057D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 zaburzeniami psychicznymi, urazami mózgu, przewlekłymi chorobami somatycznymi, widocznymi uszkodzeniami ciała są przez Stanisława Kowalika kontestowane.</w:t>
            </w:r>
          </w:p>
          <w:p w:rsidR="00057D77" w:rsidRPr="00057D77" w:rsidRDefault="00057D77" w:rsidP="00057D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057D77" w:rsidRPr="00057D77" w:rsidRDefault="00057D77" w:rsidP="00057D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7D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Po drugie, w książce przedstawiono wiele propozycji innego odczytania problemów doświadczanych przez osoby niepełnosprawne i pomocy psychologicznej w ich rozwiązywaniu. Przy czym autorowi nie chodziło o negowanie już istniejących praktyk rehabilitacyjnych, instytucjonalnie uznawanych za poprawne. Bardziej zależało mu na ukazaniu alternatywnych form pracy z osobami niepełnosprawnymi.</w:t>
            </w:r>
          </w:p>
          <w:p w:rsidR="00057D77" w:rsidRPr="00057D77" w:rsidRDefault="00057D77" w:rsidP="00057D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057D77" w:rsidRPr="0013159A" w:rsidRDefault="00057D77" w:rsidP="00057D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7D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Po trzecie, wiele z omówionych w książce propozycji pracy psychologa rehabilitacji nawiązuje do tradycji, gdy tworzony był ten dział psychologii stosowanej. Można ją określić jako okres zrównoważonego regulowania praktyki rehabilitacyjnej przez wiedzę naukową i ideały humanistyczne. Natomiast w obserwowanej obecnie sytuacji stopniowej dehumanizacji rehabilitacji, warto ciągle przypominać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</w:t>
            </w:r>
            <w:r w:rsidRPr="00057D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 tych ideałach, szczególnie gdy pracujemy z osobami niepełnosprawnymi.</w:t>
            </w:r>
          </w:p>
          <w:p w:rsidR="0013159A" w:rsidRPr="00057D77" w:rsidRDefault="0013159A" w:rsidP="00430B50">
            <w:pPr>
              <w:spacing w:after="0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323E38" w:rsidRDefault="004435D3" w:rsidP="00430B5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Przemyśl   WP </w:t>
            </w:r>
            <w:r w:rsidR="0011184D" w:rsidRPr="0011184D">
              <w:rPr>
                <w:rFonts w:ascii="Times New Roman" w:hAnsi="Times New Roman" w:cs="Times New Roman"/>
                <w:b/>
                <w:sz w:val="20"/>
                <w:szCs w:val="20"/>
              </w:rPr>
              <w:t>112677</w:t>
            </w:r>
          </w:p>
          <w:p w:rsidR="00F55500" w:rsidRPr="00AB49D7" w:rsidRDefault="00F55500" w:rsidP="00430B5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AF270C" w:rsidRDefault="00AF270C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E90" w:rsidRDefault="00252E90" w:rsidP="00535B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3C1B" w:rsidRDefault="00893C1B" w:rsidP="00535B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3C1B" w:rsidRDefault="00893C1B" w:rsidP="00535B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3C1B" w:rsidRDefault="00893C1B" w:rsidP="00893C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1B">
              <w:rPr>
                <w:rFonts w:ascii="Times New Roman" w:hAnsi="Times New Roman" w:cs="Times New Roman"/>
                <w:sz w:val="16"/>
                <w:szCs w:val="16"/>
              </w:rPr>
              <w:drawing>
                <wp:inline distT="0" distB="0" distL="0" distR="0">
                  <wp:extent cx="1409700" cy="2006472"/>
                  <wp:effectExtent l="114300" t="76200" r="114300" b="108585"/>
                  <wp:docPr id="7" name="Obraz 7" descr="https://www.gandalf.com.pl/o/stosowana-psychologia-rehabilitacji,big,822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andalf.com.pl/o/stosowana-psychologia-rehabilitacji,big,822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216" cy="20484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635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52E90" w:rsidRDefault="00252E90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7D37" w:rsidRPr="00AF270C" w:rsidRDefault="00A37D37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ABB" w:rsidRDefault="00AA1ABB" w:rsidP="005B60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BE" w:rsidRDefault="008063BE" w:rsidP="005B60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A7" w:rsidRDefault="00CA02A7" w:rsidP="005B60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5D3" w:rsidTr="005B60E5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395CB9" w:rsidRPr="00395CB9" w:rsidRDefault="00395CB9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3109A" w:rsidRDefault="004435D3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5D3">
              <w:rPr>
                <w:rFonts w:ascii="Times New Roman" w:hAnsi="Times New Roman" w:cs="Times New Roman"/>
                <w:b/>
                <w:sz w:val="20"/>
                <w:szCs w:val="20"/>
              </w:rPr>
              <w:t>Psychologia potrzeb osób starszych : potrzeby psyc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hospołeczne po 65. roku życia/ </w:t>
            </w:r>
            <w:r w:rsidRPr="004435D3">
              <w:rPr>
                <w:rFonts w:ascii="Times New Roman" w:hAnsi="Times New Roman" w:cs="Times New Roman"/>
                <w:b/>
                <w:sz w:val="20"/>
                <w:szCs w:val="20"/>
              </w:rPr>
              <w:t>Joann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Kliszcz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35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35D3">
              <w:rPr>
                <w:rFonts w:ascii="Times New Roman" w:hAnsi="Times New Roman" w:cs="Times New Roman"/>
                <w:b/>
                <w:sz w:val="20"/>
                <w:szCs w:val="20"/>
              </w:rPr>
              <w:t>- Warszawa : "</w:t>
            </w:r>
            <w:proofErr w:type="spellStart"/>
            <w:r w:rsidRPr="004435D3">
              <w:rPr>
                <w:rFonts w:ascii="Times New Roman" w:hAnsi="Times New Roman" w:cs="Times New Roman"/>
                <w:b/>
                <w:sz w:val="20"/>
                <w:szCs w:val="20"/>
              </w:rPr>
              <w:t>Difin</w:t>
            </w:r>
            <w:proofErr w:type="spellEnd"/>
            <w:r w:rsidRPr="004435D3">
              <w:rPr>
                <w:rFonts w:ascii="Times New Roman" w:hAnsi="Times New Roman" w:cs="Times New Roman"/>
                <w:b/>
                <w:sz w:val="20"/>
                <w:szCs w:val="20"/>
              </w:rPr>
              <w:t>", 2019</w:t>
            </w:r>
          </w:p>
          <w:p w:rsidR="004435D3" w:rsidRPr="00F55500" w:rsidRDefault="004435D3" w:rsidP="00A31DA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2573" w:rsidRPr="00C32573" w:rsidRDefault="004435D3" w:rsidP="00A31D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5D3">
              <w:rPr>
                <w:rFonts w:ascii="Times New Roman" w:hAnsi="Times New Roman" w:cs="Times New Roman"/>
                <w:sz w:val="20"/>
                <w:szCs w:val="20"/>
              </w:rPr>
              <w:t>„Psychologia potrzeb osób starszych” to książka, która musiała powstać, zważywszy na sytuację demograficzną w Polsce, krajach 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435D3">
              <w:rPr>
                <w:rFonts w:ascii="Times New Roman" w:hAnsi="Times New Roman" w:cs="Times New Roman"/>
                <w:sz w:val="20"/>
                <w:szCs w:val="20"/>
              </w:rPr>
              <w:t xml:space="preserve"> i na świecie. Wszędzie przybywa ludzi starzejących się i starych,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435D3">
              <w:rPr>
                <w:rFonts w:ascii="Times New Roman" w:hAnsi="Times New Roman" w:cs="Times New Roman"/>
                <w:sz w:val="20"/>
                <w:szCs w:val="20"/>
              </w:rPr>
              <w:t>a starość jako etap życia człowieka wydłuża się systematycznie. Stąd niezwykle ważna wydaje się chwila refleksji nad sytuacją tej coraz liczniej reprezentowanej grupy osób – nad jej pozycją we współczesnym świecie, relacją z młodszym pokoleniem, postrzeganiem starszych ludzi przez społeczeństwo i media. Starość przedstawiona jest z perspektywy okresu rozwojowego i traktowana zgodnie z przyjętą zasadą rozwoju przez całe życie, czyli z założeniem, że człowiek jest aktywny i twórczy do samego końca i na każdym etapie swojej egzystencji dąży do zaspokojenia nie tylko potrzeb podstawowych, ale również wyższego rzędu, z potrzebą samorealizacji łącznie.</w:t>
            </w:r>
          </w:p>
          <w:p w:rsidR="0003109A" w:rsidRPr="00395CB9" w:rsidRDefault="0003109A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5CB9" w:rsidRDefault="004435D3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Przemyśl </w:t>
            </w:r>
            <w:r>
              <w:t xml:space="preserve">   </w:t>
            </w:r>
            <w:r w:rsidRPr="004435D3">
              <w:rPr>
                <w:rFonts w:ascii="Times New Roman" w:hAnsi="Times New Roman" w:cs="Times New Roman"/>
                <w:b/>
                <w:sz w:val="20"/>
                <w:szCs w:val="20"/>
              </w:rPr>
              <w:t>WP 113722</w:t>
            </w:r>
          </w:p>
          <w:p w:rsidR="00F55500" w:rsidRDefault="00F55500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5500" w:rsidRPr="0013159A" w:rsidRDefault="00F55500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03109A" w:rsidRDefault="0003109A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5D3" w:rsidRDefault="004435D3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573" w:rsidRDefault="004435D3" w:rsidP="00F555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5D3">
              <w:rPr>
                <w:rFonts w:ascii="Times New Roman" w:hAnsi="Times New Roman" w:cs="Times New Roman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297815</wp:posOffset>
                  </wp:positionV>
                  <wp:extent cx="1447165" cy="2082800"/>
                  <wp:effectExtent l="76200" t="76200" r="76835" b="107950"/>
                  <wp:wrapThrough wrapText="bothSides">
                    <wp:wrapPolygon edited="0">
                      <wp:start x="-1137" y="-790"/>
                      <wp:lineTo x="-1137" y="22522"/>
                      <wp:lineTo x="22462" y="22522"/>
                      <wp:lineTo x="22462" y="-790"/>
                      <wp:lineTo x="-1137" y="-790"/>
                    </wp:wrapPolygon>
                  </wp:wrapThrough>
                  <wp:docPr id="8" name="Obraz 8" descr="Psychologia potrzeb osÃ³b starszych Potrzeby psychospoÅeczne po 65. roku Å¼ycia - Joanna Kliszcz | okÅ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ychologia potrzeb osÃ³b starszych Potrzeby psychospoÅeczne po 65. roku Å¼ycia - Joanna Kliszcz | okÅa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2082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635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35D3" w:rsidTr="00FF71A8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DA1399" w:rsidRPr="00E12CDE" w:rsidRDefault="00DA1399" w:rsidP="00E47E4E">
            <w:pPr>
              <w:spacing w:after="0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323E38" w:rsidRPr="00323E38" w:rsidRDefault="00DB67C2" w:rsidP="00E47E4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Niska samoocena u dzieci</w:t>
            </w:r>
            <w:r w:rsidR="004056F5" w:rsidRPr="004056F5">
              <w:rPr>
                <w:rFonts w:ascii="Times New Roman" w:hAnsi="Times New Roman" w:cs="Times New Roman"/>
                <w:b/>
                <w:sz w:val="20"/>
                <w:szCs w:val="20"/>
              </w:rPr>
              <w:t>: praktyczny poradn</w:t>
            </w:r>
            <w:r w:rsidR="003E38D1">
              <w:rPr>
                <w:rFonts w:ascii="Times New Roman" w:hAnsi="Times New Roman" w:cs="Times New Roman"/>
                <w:b/>
                <w:sz w:val="20"/>
                <w:szCs w:val="20"/>
              </w:rPr>
              <w:t>ik dla specjalistów              i rodziców/</w:t>
            </w:r>
            <w:r w:rsidR="004056F5" w:rsidRPr="004056F5">
              <w:rPr>
                <w:rFonts w:ascii="Times New Roman" w:hAnsi="Times New Roman" w:cs="Times New Roman"/>
                <w:b/>
                <w:sz w:val="20"/>
                <w:szCs w:val="20"/>
              </w:rPr>
              <w:t>Margot</w:t>
            </w:r>
            <w:r w:rsidR="003E3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38D1">
              <w:t xml:space="preserve"> </w:t>
            </w:r>
            <w:r w:rsidR="003E38D1">
              <w:rPr>
                <w:rFonts w:ascii="Times New Roman" w:hAnsi="Times New Roman" w:cs="Times New Roman"/>
                <w:b/>
                <w:sz w:val="20"/>
                <w:szCs w:val="20"/>
              </w:rPr>
              <w:t>Sunderland</w:t>
            </w:r>
            <w:r w:rsidR="004056F5" w:rsidRPr="004056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E3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56F5" w:rsidRPr="004056F5">
              <w:rPr>
                <w:rFonts w:ascii="Times New Roman" w:hAnsi="Times New Roman" w:cs="Times New Roman"/>
                <w:b/>
                <w:sz w:val="20"/>
                <w:szCs w:val="20"/>
              </w:rPr>
              <w:t>- Sopot : Gdańskie Wydawnictwo Psychologiczne, 2019</w:t>
            </w:r>
          </w:p>
          <w:p w:rsidR="00323E38" w:rsidRPr="00DB67C2" w:rsidRDefault="00323E38" w:rsidP="00EB113B">
            <w:pPr>
              <w:spacing w:after="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E38D1" w:rsidRPr="003E38D1" w:rsidRDefault="003E38D1" w:rsidP="003E38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 xml:space="preserve">Ważna książka dla każdego rodzica. </w:t>
            </w:r>
          </w:p>
          <w:p w:rsidR="003E38D1" w:rsidRPr="003E38D1" w:rsidRDefault="003E38D1" w:rsidP="003E38D1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38D1" w:rsidRPr="00DB67C2" w:rsidRDefault="003E38D1" w:rsidP="003E38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 xml:space="preserve">Dzieci powinny dorastać w miłości, w poczuciu, że są akceptowane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 xml:space="preserve">i szanowane, że są wyjątkowe takie, jakie są. Dostarczenie przez rodziców odpowiednich wzorców </w:t>
            </w:r>
            <w:proofErr w:type="spellStart"/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3E38D1">
              <w:rPr>
                <w:rFonts w:ascii="Times New Roman" w:hAnsi="Times New Roman" w:cs="Times New Roman"/>
                <w:sz w:val="20"/>
                <w:szCs w:val="20"/>
              </w:rPr>
              <w:t xml:space="preserve"> i wsparcia jest konieczne do utrwalenia pozytywnych postaw. To zapewnia dzieciom siłę, umiejętność radzenia sobie z trudnościami i stab</w:t>
            </w:r>
            <w:r w:rsidR="00DB67C2">
              <w:rPr>
                <w:rFonts w:ascii="Times New Roman" w:hAnsi="Times New Roman" w:cs="Times New Roman"/>
                <w:sz w:val="20"/>
                <w:szCs w:val="20"/>
              </w:rPr>
              <w:t>ilne poczucie własnej wartości.</w:t>
            </w:r>
          </w:p>
          <w:p w:rsidR="003E38D1" w:rsidRPr="00DB67C2" w:rsidRDefault="003E38D1" w:rsidP="003E38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Dzieci z niską samooceną czują się nieważne, nie lubią siebie, wciąż mają poczucie, że nie są wystarczająco dobre, są samokrytyczne, nieustannie spodziewają się kolejnych pora</w:t>
            </w:r>
            <w:r w:rsidR="00DB67C2">
              <w:rPr>
                <w:rFonts w:ascii="Times New Roman" w:hAnsi="Times New Roman" w:cs="Times New Roman"/>
                <w:sz w:val="20"/>
                <w:szCs w:val="20"/>
              </w:rPr>
              <w:t>żek lub rozczarowań.</w:t>
            </w:r>
          </w:p>
          <w:p w:rsidR="00E47E4E" w:rsidRDefault="003E38D1" w:rsidP="003E38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 xml:space="preserve">Dzieci, które są odpychane, zawstydzane, krytykowane, którym daje się odczuć, że są niechciane lub niepotrzebne, wykształcają wiele toksycznych, destrukcyjnych </w:t>
            </w:r>
            <w:proofErr w:type="spellStart"/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. Pozwalają się źle traktować, uważając, że nie zasługują na nic lepszego, lub gnębią innych, ponieważ czują się bezwartościowe. Unikają konfrontacji, zaniżają znaczenie własnych osiągnięć, wycofują się z zamierzonych działań. Mogą też być bardziej podatne na zaburzenia psychiczne, w tym depresję.</w:t>
            </w:r>
          </w:p>
          <w:p w:rsidR="003E38D1" w:rsidRPr="003E38D1" w:rsidRDefault="003E38D1" w:rsidP="003E38D1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38D1" w:rsidRPr="00DB67C2" w:rsidRDefault="003E38D1" w:rsidP="003E38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Książka pomaga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E38D1" w:rsidRPr="003E38D1" w:rsidRDefault="003E38D1" w:rsidP="003E38D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rozumieć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 xml:space="preserve"> dzi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ecięce poczucie braku wartości;</w:t>
            </w:r>
          </w:p>
          <w:p w:rsidR="003E38D1" w:rsidRPr="003E38D1" w:rsidRDefault="003E38D1" w:rsidP="003E38D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 xml:space="preserve">dotrzeć 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do źr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ódeł niskiej samooceny dziecka;</w:t>
            </w:r>
          </w:p>
          <w:p w:rsidR="003E38D1" w:rsidRPr="003E38D1" w:rsidRDefault="003E38D1" w:rsidP="003E38D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rozpoznać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 xml:space="preserve"> emocje, które kryją się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 xml:space="preserve"> za jego „trudnym” zachowaniem;</w:t>
            </w:r>
          </w:p>
          <w:p w:rsidR="003E38D1" w:rsidRPr="003E38D1" w:rsidRDefault="003E38D1" w:rsidP="003E38D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dowiedzieć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 xml:space="preserve"> się, jak rozmawiać z dzieckiem, by 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pomóc mu przepracować problemy;</w:t>
            </w:r>
          </w:p>
          <w:p w:rsidR="003E38D1" w:rsidRPr="003E38D1" w:rsidRDefault="003E38D1" w:rsidP="003E38D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ułatwić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 xml:space="preserve"> dziecku naz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wanie niewypowiedzianych uczuć;</w:t>
            </w:r>
          </w:p>
          <w:p w:rsidR="003E38D1" w:rsidRPr="003E38D1" w:rsidRDefault="003E38D1" w:rsidP="003E38D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nauczyć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 xml:space="preserve"> dziecko wyra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żania własnych emocji i opinii;</w:t>
            </w:r>
          </w:p>
          <w:p w:rsidR="003E38D1" w:rsidRPr="003E38D1" w:rsidRDefault="003E38D1" w:rsidP="003E38D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>wzmocnić</w:t>
            </w:r>
            <w:r w:rsidRPr="003E38D1">
              <w:rPr>
                <w:rFonts w:ascii="Times New Roman" w:hAnsi="Times New Roman" w:cs="Times New Roman"/>
                <w:sz w:val="20"/>
                <w:szCs w:val="20"/>
              </w:rPr>
              <w:t xml:space="preserve"> poczucie własnej wartości dziecka.</w:t>
            </w:r>
          </w:p>
          <w:p w:rsidR="00E47E4E" w:rsidRPr="00DB67C2" w:rsidRDefault="00E47E4E" w:rsidP="00323E38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7975" w:rsidRDefault="00F97975" w:rsidP="00F9797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75">
              <w:rPr>
                <w:rFonts w:ascii="Times New Roman" w:hAnsi="Times New Roman" w:cs="Times New Roman"/>
                <w:b/>
                <w:sz w:val="20"/>
                <w:szCs w:val="20"/>
              </w:rPr>
              <w:t>Przemyśl   WP 113719</w:t>
            </w:r>
          </w:p>
          <w:p w:rsidR="00F97975" w:rsidRPr="00F97975" w:rsidRDefault="00F97975" w:rsidP="00F9797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Przeworsk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B67C2">
              <w:rPr>
                <w:rFonts w:ascii="Times New Roman" w:hAnsi="Times New Roman" w:cs="Times New Roman"/>
                <w:b/>
                <w:sz w:val="20"/>
                <w:szCs w:val="20"/>
              </w:rPr>
              <w:t>WK 53849</w:t>
            </w:r>
          </w:p>
          <w:p w:rsidR="00E12CDE" w:rsidRPr="00DB67C2" w:rsidRDefault="00E12CDE" w:rsidP="00F97975">
            <w:pPr>
              <w:spacing w:after="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E47E4E" w:rsidRDefault="00E47E4E" w:rsidP="00E47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6F5" w:rsidRDefault="004056F5" w:rsidP="00E47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972" w:rsidRDefault="000F3972" w:rsidP="00E47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972" w:rsidRDefault="000F3972" w:rsidP="00E47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E4E" w:rsidRDefault="004056F5" w:rsidP="000361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F5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518699" cy="2141300"/>
                  <wp:effectExtent l="95250" t="76200" r="81915" b="125730"/>
                  <wp:docPr id="9" name="Obraz 9" descr="https://cdn.bonito.pl/cache/0/f14-niska-samoocena-u-dzieci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.bonito.pl/cache/0/f14-niska-samoocena-u-dzieci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26" cy="2174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635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40B99" w:rsidRPr="00036172" w:rsidRDefault="00440B99" w:rsidP="00E1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5D3" w:rsidTr="00FF71A8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DA1399" w:rsidRPr="00E12CDE" w:rsidRDefault="00DA1399" w:rsidP="00FE60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</w:rPr>
            </w:pPr>
          </w:p>
          <w:p w:rsidR="00FE6055" w:rsidRDefault="00DB67C2" w:rsidP="00FE60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Autodestruktywność dzieci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i młodzieży/ </w:t>
            </w:r>
            <w: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Beata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Ziółkowska,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Jowita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Wycisk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.- Warszawa : "</w:t>
            </w:r>
            <w:proofErr w:type="spellStart"/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Difin</w:t>
            </w:r>
            <w:proofErr w:type="spellEnd"/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", 2019</w:t>
            </w:r>
          </w:p>
          <w:p w:rsidR="00FE6055" w:rsidRPr="00DB67C2" w:rsidRDefault="00FE6055" w:rsidP="00FE60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:rsidR="00DB67C2" w:rsidRPr="00DB67C2" w:rsidRDefault="00DB67C2" w:rsidP="00DB67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Celem książki jest przedstawienie </w:t>
            </w:r>
            <w:proofErr w:type="spellStart"/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zachowań</w:t>
            </w:r>
            <w:proofErr w:type="spellEnd"/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ryzykownych współczesnej młodzieży oraz społeczno-kulturowych, osobowościowych i fizjologicznych determinant rozwijania autode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struktywności w różnej postaci.</w:t>
            </w:r>
          </w:p>
          <w:p w:rsidR="00DB67C2" w:rsidRPr="00DB67C2" w:rsidRDefault="00DB67C2" w:rsidP="00DB67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Czas adolescencji, z uwagi na przemiany biologiczne, jak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i psychospołeczne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związane z formowaniem tożs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amości, jest okresem ryzyka dla 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rozwijania niekorzystnych </w:t>
            </w:r>
            <w:proofErr w:type="spellStart"/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zachowań</w:t>
            </w:r>
            <w:proofErr w:type="spellEnd"/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Jednocześnie, im wcześniej pojawiają się problemy w funkcjonowaniu jednostki, tym większe ryzyko rozwojowe stanowią, bowiem modyfikują zarówno aktualne funkcjonowanie, jak i dalszy przebieg rozwoju, zdrowie somatyczne oraz psychiczne. Tym samym niezwykle istotne jest podejmowanie działań mających na celu sprawne wychwycenie niepokojących sygnałów i 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ruchomienie działań pomocowych.</w:t>
            </w:r>
          </w:p>
          <w:p w:rsidR="00FE6055" w:rsidRDefault="00DB67C2" w:rsidP="00DB67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Oryginalność książki stanowi zebranie najbardziej istotnych </w:t>
            </w:r>
            <w:proofErr w:type="spellStart"/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zachowań</w:t>
            </w:r>
            <w:proofErr w:type="spellEnd"/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autodestrukcyjnych w jednej pozycji, udokumentowanie obowiązujących stanowisk teoretycznych najnowszymi badaniami,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 także spojrzenie na nie okiem ekspertów: neuropsychologa, edukatora–psychoprofilaktyka, psychiatry, psychoterapeuty, socjologa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teologa.</w:t>
            </w:r>
          </w:p>
          <w:p w:rsidR="00E12CDE" w:rsidRPr="00DB67C2" w:rsidRDefault="00E12CDE" w:rsidP="00FE6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BD5E58" w:rsidRPr="00DB67C2" w:rsidRDefault="00DB67C2" w:rsidP="00FE60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Przemyśl  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WP 113735</w:t>
            </w: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45578E" w:rsidRDefault="0045578E" w:rsidP="00036172">
            <w:pPr>
              <w:spacing w:after="0"/>
              <w:jc w:val="center"/>
              <w:rPr>
                <w:noProof/>
                <w:lang w:eastAsia="pl-PL"/>
              </w:rPr>
            </w:pPr>
          </w:p>
          <w:p w:rsidR="00DB67C2" w:rsidRDefault="00DB67C2" w:rsidP="00036172">
            <w:pPr>
              <w:spacing w:after="0"/>
              <w:jc w:val="center"/>
              <w:rPr>
                <w:noProof/>
                <w:lang w:eastAsia="pl-PL"/>
              </w:rPr>
            </w:pPr>
          </w:p>
          <w:p w:rsidR="00DB67C2" w:rsidRDefault="00DB67C2" w:rsidP="00036172">
            <w:pPr>
              <w:spacing w:after="0"/>
              <w:jc w:val="center"/>
              <w:rPr>
                <w:noProof/>
                <w:lang w:eastAsia="pl-PL"/>
              </w:rPr>
            </w:pPr>
          </w:p>
          <w:p w:rsidR="00555678" w:rsidRDefault="00DB67C2" w:rsidP="00FE6055">
            <w:pPr>
              <w:spacing w:after="0"/>
              <w:jc w:val="center"/>
              <w:rPr>
                <w:noProof/>
                <w:lang w:eastAsia="pl-PL"/>
              </w:rPr>
            </w:pPr>
            <w:r w:rsidRPr="00DB67C2">
              <w:rPr>
                <w:noProof/>
                <w:lang w:eastAsia="pl-PL"/>
              </w:rPr>
              <w:drawing>
                <wp:inline distT="0" distB="0" distL="0" distR="0">
                  <wp:extent cx="1574938" cy="2080567"/>
                  <wp:effectExtent l="76200" t="76200" r="63500" b="110490"/>
                  <wp:docPr id="10" name="Obraz 10" descr="AutodestruktywnoÅÄ dzieci i mÅodzieÅ¼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todestruktywnoÅÄ dzieci i mÅodzieÅ¼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689" cy="21172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635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13B7B" w:rsidRDefault="00813B7B" w:rsidP="00555678">
            <w:pPr>
              <w:spacing w:after="0"/>
              <w:rPr>
                <w:noProof/>
                <w:lang w:eastAsia="pl-PL"/>
              </w:rPr>
            </w:pPr>
          </w:p>
        </w:tc>
      </w:tr>
    </w:tbl>
    <w:p w:rsidR="00774BEF" w:rsidRPr="00890661" w:rsidRDefault="00774BEF" w:rsidP="00B41631">
      <w:pPr>
        <w:jc w:val="both"/>
      </w:pPr>
    </w:p>
    <w:sectPr w:rsidR="00774BEF" w:rsidRPr="008906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3FF5"/>
    <w:multiLevelType w:val="hybridMultilevel"/>
    <w:tmpl w:val="AE348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F66"/>
    <w:multiLevelType w:val="hybridMultilevel"/>
    <w:tmpl w:val="BBCC0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7771"/>
    <w:multiLevelType w:val="hybridMultilevel"/>
    <w:tmpl w:val="EB02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4A5F"/>
    <w:multiLevelType w:val="hybridMultilevel"/>
    <w:tmpl w:val="D33E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7352"/>
    <w:multiLevelType w:val="hybridMultilevel"/>
    <w:tmpl w:val="C8981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C3CEF"/>
    <w:multiLevelType w:val="hybridMultilevel"/>
    <w:tmpl w:val="9850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BB"/>
    <w:rsid w:val="00007D00"/>
    <w:rsid w:val="00015A21"/>
    <w:rsid w:val="00023366"/>
    <w:rsid w:val="00026EBE"/>
    <w:rsid w:val="0003109A"/>
    <w:rsid w:val="00036172"/>
    <w:rsid w:val="00037D77"/>
    <w:rsid w:val="00042053"/>
    <w:rsid w:val="00044454"/>
    <w:rsid w:val="00051D5F"/>
    <w:rsid w:val="00052B57"/>
    <w:rsid w:val="000544B3"/>
    <w:rsid w:val="00057D77"/>
    <w:rsid w:val="0007226D"/>
    <w:rsid w:val="000765BA"/>
    <w:rsid w:val="0008304E"/>
    <w:rsid w:val="0008382E"/>
    <w:rsid w:val="00083929"/>
    <w:rsid w:val="000848E7"/>
    <w:rsid w:val="000C68B1"/>
    <w:rsid w:val="000E102C"/>
    <w:rsid w:val="000E7078"/>
    <w:rsid w:val="000F3458"/>
    <w:rsid w:val="000F3972"/>
    <w:rsid w:val="0011184D"/>
    <w:rsid w:val="00122D9F"/>
    <w:rsid w:val="0012523F"/>
    <w:rsid w:val="00127AA6"/>
    <w:rsid w:val="0013159A"/>
    <w:rsid w:val="00131932"/>
    <w:rsid w:val="00145FE1"/>
    <w:rsid w:val="001525A6"/>
    <w:rsid w:val="001606E8"/>
    <w:rsid w:val="00185186"/>
    <w:rsid w:val="001873CA"/>
    <w:rsid w:val="0019364F"/>
    <w:rsid w:val="001A043E"/>
    <w:rsid w:val="001A7CFB"/>
    <w:rsid w:val="001D733F"/>
    <w:rsid w:val="001F0B26"/>
    <w:rsid w:val="00205E8B"/>
    <w:rsid w:val="00212662"/>
    <w:rsid w:val="002151C1"/>
    <w:rsid w:val="00234544"/>
    <w:rsid w:val="002518B8"/>
    <w:rsid w:val="00252E90"/>
    <w:rsid w:val="00256C28"/>
    <w:rsid w:val="00260FF5"/>
    <w:rsid w:val="00274D14"/>
    <w:rsid w:val="002821E0"/>
    <w:rsid w:val="00291B01"/>
    <w:rsid w:val="002A050F"/>
    <w:rsid w:val="002B2376"/>
    <w:rsid w:val="002D2CEC"/>
    <w:rsid w:val="002E797A"/>
    <w:rsid w:val="00301AC9"/>
    <w:rsid w:val="00310FB2"/>
    <w:rsid w:val="00323E38"/>
    <w:rsid w:val="003271F5"/>
    <w:rsid w:val="00341078"/>
    <w:rsid w:val="00343419"/>
    <w:rsid w:val="00344283"/>
    <w:rsid w:val="00344C56"/>
    <w:rsid w:val="003530BB"/>
    <w:rsid w:val="00357940"/>
    <w:rsid w:val="0038667C"/>
    <w:rsid w:val="00395CB9"/>
    <w:rsid w:val="003A7432"/>
    <w:rsid w:val="003A7EE9"/>
    <w:rsid w:val="003B1530"/>
    <w:rsid w:val="003D1151"/>
    <w:rsid w:val="003D1B0D"/>
    <w:rsid w:val="003E18FA"/>
    <w:rsid w:val="003E38D1"/>
    <w:rsid w:val="003F3BF9"/>
    <w:rsid w:val="003F76BB"/>
    <w:rsid w:val="004056F5"/>
    <w:rsid w:val="00407B35"/>
    <w:rsid w:val="00430B50"/>
    <w:rsid w:val="00431473"/>
    <w:rsid w:val="00440B99"/>
    <w:rsid w:val="004435D3"/>
    <w:rsid w:val="0045578E"/>
    <w:rsid w:val="00465034"/>
    <w:rsid w:val="00492013"/>
    <w:rsid w:val="004D7255"/>
    <w:rsid w:val="004E3A5E"/>
    <w:rsid w:val="004F7AE6"/>
    <w:rsid w:val="005010EA"/>
    <w:rsid w:val="005104AA"/>
    <w:rsid w:val="00511CDB"/>
    <w:rsid w:val="0052018D"/>
    <w:rsid w:val="00533129"/>
    <w:rsid w:val="00535B99"/>
    <w:rsid w:val="00544C35"/>
    <w:rsid w:val="00555678"/>
    <w:rsid w:val="005645A9"/>
    <w:rsid w:val="00584CEA"/>
    <w:rsid w:val="005A0A71"/>
    <w:rsid w:val="005A55EE"/>
    <w:rsid w:val="005B60E5"/>
    <w:rsid w:val="005C65BD"/>
    <w:rsid w:val="005E6A40"/>
    <w:rsid w:val="00602BDA"/>
    <w:rsid w:val="006368F8"/>
    <w:rsid w:val="00655079"/>
    <w:rsid w:val="00674C9F"/>
    <w:rsid w:val="00677716"/>
    <w:rsid w:val="006B0BAF"/>
    <w:rsid w:val="006C07BF"/>
    <w:rsid w:val="006D774D"/>
    <w:rsid w:val="006E3D1F"/>
    <w:rsid w:val="007343CC"/>
    <w:rsid w:val="00761507"/>
    <w:rsid w:val="007722B5"/>
    <w:rsid w:val="00774BEF"/>
    <w:rsid w:val="007B118F"/>
    <w:rsid w:val="007B3E3B"/>
    <w:rsid w:val="007C1471"/>
    <w:rsid w:val="007C1DE9"/>
    <w:rsid w:val="007D7756"/>
    <w:rsid w:val="007E206A"/>
    <w:rsid w:val="007E21D7"/>
    <w:rsid w:val="007E4DA7"/>
    <w:rsid w:val="007F4724"/>
    <w:rsid w:val="008063BE"/>
    <w:rsid w:val="00813B7B"/>
    <w:rsid w:val="00814757"/>
    <w:rsid w:val="00826E1B"/>
    <w:rsid w:val="008428A1"/>
    <w:rsid w:val="008520BF"/>
    <w:rsid w:val="00864536"/>
    <w:rsid w:val="00872984"/>
    <w:rsid w:val="00890661"/>
    <w:rsid w:val="00893C1B"/>
    <w:rsid w:val="00896D49"/>
    <w:rsid w:val="008A1D69"/>
    <w:rsid w:val="008A449B"/>
    <w:rsid w:val="008B06F4"/>
    <w:rsid w:val="008B68AD"/>
    <w:rsid w:val="008C37ED"/>
    <w:rsid w:val="008D12A1"/>
    <w:rsid w:val="008E50F7"/>
    <w:rsid w:val="008E59DA"/>
    <w:rsid w:val="008F3DF3"/>
    <w:rsid w:val="00911667"/>
    <w:rsid w:val="009259B6"/>
    <w:rsid w:val="0093784D"/>
    <w:rsid w:val="00940DCF"/>
    <w:rsid w:val="00965751"/>
    <w:rsid w:val="00965D91"/>
    <w:rsid w:val="0098567A"/>
    <w:rsid w:val="009A577B"/>
    <w:rsid w:val="009A7CD0"/>
    <w:rsid w:val="009B670A"/>
    <w:rsid w:val="009C162F"/>
    <w:rsid w:val="009C22D3"/>
    <w:rsid w:val="009C4E69"/>
    <w:rsid w:val="009C4E75"/>
    <w:rsid w:val="009C61F3"/>
    <w:rsid w:val="009D236F"/>
    <w:rsid w:val="009D536C"/>
    <w:rsid w:val="009E1CFE"/>
    <w:rsid w:val="009F2562"/>
    <w:rsid w:val="00A10859"/>
    <w:rsid w:val="00A1790F"/>
    <w:rsid w:val="00A31DAA"/>
    <w:rsid w:val="00A37D37"/>
    <w:rsid w:val="00A612DC"/>
    <w:rsid w:val="00A676A7"/>
    <w:rsid w:val="00A91B21"/>
    <w:rsid w:val="00AA1ABB"/>
    <w:rsid w:val="00AA33DA"/>
    <w:rsid w:val="00AB49D7"/>
    <w:rsid w:val="00AC2CF0"/>
    <w:rsid w:val="00AC4F87"/>
    <w:rsid w:val="00AF21F1"/>
    <w:rsid w:val="00AF270C"/>
    <w:rsid w:val="00AF3B67"/>
    <w:rsid w:val="00B17AD2"/>
    <w:rsid w:val="00B20C68"/>
    <w:rsid w:val="00B27972"/>
    <w:rsid w:val="00B33381"/>
    <w:rsid w:val="00B41631"/>
    <w:rsid w:val="00B46DDC"/>
    <w:rsid w:val="00B860F0"/>
    <w:rsid w:val="00B9584B"/>
    <w:rsid w:val="00B97127"/>
    <w:rsid w:val="00BA05C6"/>
    <w:rsid w:val="00BA3833"/>
    <w:rsid w:val="00BA6256"/>
    <w:rsid w:val="00BB3443"/>
    <w:rsid w:val="00BD4BFA"/>
    <w:rsid w:val="00BD5E58"/>
    <w:rsid w:val="00BE1A25"/>
    <w:rsid w:val="00BE3764"/>
    <w:rsid w:val="00BE63E2"/>
    <w:rsid w:val="00BF72B8"/>
    <w:rsid w:val="00C01F97"/>
    <w:rsid w:val="00C07278"/>
    <w:rsid w:val="00C162D0"/>
    <w:rsid w:val="00C32573"/>
    <w:rsid w:val="00C3626B"/>
    <w:rsid w:val="00C7312F"/>
    <w:rsid w:val="00C80AF9"/>
    <w:rsid w:val="00C85DFC"/>
    <w:rsid w:val="00C8785E"/>
    <w:rsid w:val="00C921E7"/>
    <w:rsid w:val="00C945AA"/>
    <w:rsid w:val="00C95B04"/>
    <w:rsid w:val="00C96842"/>
    <w:rsid w:val="00CA02A7"/>
    <w:rsid w:val="00CA3A9C"/>
    <w:rsid w:val="00CA4C40"/>
    <w:rsid w:val="00CB56C7"/>
    <w:rsid w:val="00CC4DA6"/>
    <w:rsid w:val="00CE4A86"/>
    <w:rsid w:val="00D045B1"/>
    <w:rsid w:val="00D2194B"/>
    <w:rsid w:val="00D347B4"/>
    <w:rsid w:val="00D45078"/>
    <w:rsid w:val="00D57620"/>
    <w:rsid w:val="00D87749"/>
    <w:rsid w:val="00D93222"/>
    <w:rsid w:val="00D93A52"/>
    <w:rsid w:val="00D96452"/>
    <w:rsid w:val="00DA1146"/>
    <w:rsid w:val="00DA1399"/>
    <w:rsid w:val="00DA61BE"/>
    <w:rsid w:val="00DB1338"/>
    <w:rsid w:val="00DB67C2"/>
    <w:rsid w:val="00DE3752"/>
    <w:rsid w:val="00DE578C"/>
    <w:rsid w:val="00DF21D0"/>
    <w:rsid w:val="00DF4547"/>
    <w:rsid w:val="00E06682"/>
    <w:rsid w:val="00E109FE"/>
    <w:rsid w:val="00E12CDE"/>
    <w:rsid w:val="00E1630E"/>
    <w:rsid w:val="00E41742"/>
    <w:rsid w:val="00E47E4E"/>
    <w:rsid w:val="00E50CA9"/>
    <w:rsid w:val="00E56E9B"/>
    <w:rsid w:val="00E75F08"/>
    <w:rsid w:val="00E8540B"/>
    <w:rsid w:val="00EA078D"/>
    <w:rsid w:val="00EA4E26"/>
    <w:rsid w:val="00EA50CD"/>
    <w:rsid w:val="00EB039D"/>
    <w:rsid w:val="00EB0F91"/>
    <w:rsid w:val="00EB113B"/>
    <w:rsid w:val="00EB69DF"/>
    <w:rsid w:val="00ED375D"/>
    <w:rsid w:val="00ED7B15"/>
    <w:rsid w:val="00EF69BF"/>
    <w:rsid w:val="00F0596B"/>
    <w:rsid w:val="00F11DD8"/>
    <w:rsid w:val="00F15FBD"/>
    <w:rsid w:val="00F17034"/>
    <w:rsid w:val="00F33E50"/>
    <w:rsid w:val="00F3599E"/>
    <w:rsid w:val="00F477F1"/>
    <w:rsid w:val="00F55500"/>
    <w:rsid w:val="00F84FD2"/>
    <w:rsid w:val="00F85ED2"/>
    <w:rsid w:val="00F9433D"/>
    <w:rsid w:val="00F95228"/>
    <w:rsid w:val="00F97975"/>
    <w:rsid w:val="00FC5684"/>
    <w:rsid w:val="00FD73F3"/>
    <w:rsid w:val="00FE0ADA"/>
    <w:rsid w:val="00FE0B2D"/>
    <w:rsid w:val="00FE6055"/>
    <w:rsid w:val="00FF71A8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1B43"/>
  <w15:docId w15:val="{9B1CD66A-372B-40AB-8FF6-FEF3F210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8B7"/>
    <w:pPr>
      <w:spacing w:after="20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334FFB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04E8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F0CA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0D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04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BD9"/>
    <w:pPr>
      <w:ind w:left="720"/>
      <w:contextualSpacing/>
    </w:p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59"/>
    <w:rsid w:val="001848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83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8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9448">
              <w:marLeft w:val="0"/>
              <w:marRight w:val="0"/>
              <w:marTop w:val="0"/>
              <w:marBottom w:val="0"/>
              <w:divBdr>
                <w:top w:val="single" w:sz="6" w:space="0" w:color="CFD1D2"/>
                <w:left w:val="single" w:sz="6" w:space="0" w:color="CFD1D2"/>
                <w:bottom w:val="single" w:sz="6" w:space="0" w:color="CFD1D2"/>
                <w:right w:val="single" w:sz="6" w:space="0" w:color="CFD1D2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4006-C918-4F78-80E0-3CA8C126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Pedagogiczna Biblioteka Wojewódzka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Krupa</dc:creator>
  <dc:description/>
  <cp:lastModifiedBy>Użytkownik systemu Windows</cp:lastModifiedBy>
  <cp:revision>545</cp:revision>
  <cp:lastPrinted>2017-04-10T10:35:00Z</cp:lastPrinted>
  <dcterms:created xsi:type="dcterms:W3CDTF">2015-12-15T12:52:00Z</dcterms:created>
  <dcterms:modified xsi:type="dcterms:W3CDTF">2019-05-09T09:47:00Z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Pedagogiczna Biblioteka Wojewódzka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